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F4DD5" w14:textId="6B705604" w:rsidR="00DF3BBB" w:rsidRDefault="00E76A38">
      <w:r>
        <w:rPr>
          <w:noProof/>
        </w:rPr>
        <mc:AlternateContent>
          <mc:Choice Requires="wps">
            <w:drawing>
              <wp:anchor distT="0" distB="0" distL="114300" distR="114300" simplePos="0" relativeHeight="251659264" behindDoc="0" locked="0" layoutInCell="1" allowOverlap="1" wp14:anchorId="4FA0D4E2" wp14:editId="0E9D82AF">
                <wp:simplePos x="0" y="0"/>
                <wp:positionH relativeFrom="margin">
                  <wp:align>right</wp:align>
                </wp:positionH>
                <wp:positionV relativeFrom="paragraph">
                  <wp:posOffset>-436880</wp:posOffset>
                </wp:positionV>
                <wp:extent cx="654050" cy="298450"/>
                <wp:effectExtent l="0" t="0" r="12700" b="25400"/>
                <wp:wrapNone/>
                <wp:docPr id="2063312772" name="テキスト ボックス 1"/>
                <wp:cNvGraphicFramePr/>
                <a:graphic xmlns:a="http://schemas.openxmlformats.org/drawingml/2006/main">
                  <a:graphicData uri="http://schemas.microsoft.com/office/word/2010/wordprocessingShape">
                    <wps:wsp>
                      <wps:cNvSpPr txBox="1"/>
                      <wps:spPr>
                        <a:xfrm>
                          <a:off x="0" y="0"/>
                          <a:ext cx="654050" cy="298450"/>
                        </a:xfrm>
                        <a:prstGeom prst="rect">
                          <a:avLst/>
                        </a:prstGeom>
                        <a:solidFill>
                          <a:schemeClr val="lt1"/>
                        </a:solidFill>
                        <a:ln w="6350">
                          <a:solidFill>
                            <a:schemeClr val="tx1"/>
                          </a:solidFill>
                        </a:ln>
                      </wps:spPr>
                      <wps:txbx>
                        <w:txbxContent>
                          <w:p w14:paraId="73C2769B" w14:textId="0BBC900C" w:rsidR="00E76A38" w:rsidRPr="0044637F" w:rsidRDefault="00125755">
                            <w:pPr>
                              <w:rPr>
                                <w:sz w:val="20"/>
                                <w:szCs w:val="20"/>
                              </w:rPr>
                            </w:pPr>
                            <w:r>
                              <w:rPr>
                                <w:rFonts w:hint="eastAsia"/>
                                <w:sz w:val="20"/>
                                <w:szCs w:val="20"/>
                              </w:rPr>
                              <w:t>添付</w:t>
                            </w:r>
                            <w:r w:rsidR="00E94F8D">
                              <w:rPr>
                                <w:rFonts w:hint="eastAsia"/>
                                <w:sz w:val="20"/>
                                <w:szCs w:val="20"/>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0D4E2" id="_x0000_t202" coordsize="21600,21600" o:spt="202" path="m,l,21600r21600,l21600,xe">
                <v:stroke joinstyle="miter"/>
                <v:path gradientshapeok="t" o:connecttype="rect"/>
              </v:shapetype>
              <v:shape id="テキスト ボックス 1" o:spid="_x0000_s1026" type="#_x0000_t202" style="position:absolute;left:0;text-align:left;margin-left:.3pt;margin-top:-34.4pt;width:51.5pt;height:2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" fillcolor="white [3201]" strokecolor="black [3213]" strokeweight=".5pt">
                <v:textbox>
                  <w:txbxContent>
                    <w:p w14:paraId="73C2769B" w14:textId="0BBC900C" w:rsidR="00E76A38" w:rsidRPr="0044637F" w:rsidRDefault="00125755">
                      <w:pPr>
                        <w:rPr>
                          <w:sz w:val="20"/>
                          <w:szCs w:val="20"/>
                        </w:rPr>
                      </w:pPr>
                      <w:r>
                        <w:rPr>
                          <w:rFonts w:hint="eastAsia"/>
                          <w:sz w:val="20"/>
                          <w:szCs w:val="20"/>
                        </w:rPr>
                        <w:t>添付</w:t>
                      </w:r>
                      <w:r w:rsidR="00E94F8D">
                        <w:rPr>
                          <w:rFonts w:hint="eastAsia"/>
                          <w:sz w:val="20"/>
                          <w:szCs w:val="20"/>
                        </w:rPr>
                        <w:t>②</w:t>
                      </w:r>
                    </w:p>
                  </w:txbxContent>
                </v:textbox>
                <w10:wrap anchorx="margin"/>
              </v:shape>
            </w:pict>
          </mc:Fallback>
        </mc:AlternateContent>
      </w:r>
      <w:r w:rsidR="009D546C" w:rsidRPr="009D546C">
        <w:t>（参考１）</w:t>
      </w:r>
    </w:p>
    <w:p w14:paraId="6BD9AED4" w14:textId="70DA673F" w:rsidR="003E5AE3" w:rsidRPr="00133966" w:rsidRDefault="009D546C" w:rsidP="00133966">
      <w:pPr>
        <w:spacing w:line="360" w:lineRule="exact"/>
        <w:rPr>
          <w:sz w:val="24"/>
          <w:szCs w:val="24"/>
        </w:rPr>
      </w:pPr>
      <w:r w:rsidRPr="00133966">
        <w:rPr>
          <w:sz w:val="24"/>
          <w:szCs w:val="24"/>
        </w:rPr>
        <w:t>供給休止中の貯槽・容器等の確認・点検、並びに、技術上の基準への不適合、保安業務未実施の報告について</w:t>
      </w:r>
    </w:p>
    <w:p w14:paraId="0E6396DF" w14:textId="77777777" w:rsidR="001B7581" w:rsidRDefault="001B7581"/>
    <w:p w14:paraId="1123437D" w14:textId="454414DC" w:rsidR="001B7581" w:rsidRDefault="001B7581" w:rsidP="0044637F">
      <w:pPr>
        <w:ind w:firstLineChars="100" w:firstLine="210"/>
      </w:pPr>
      <w:r>
        <w:rPr>
          <w:rFonts w:hint="eastAsia"/>
        </w:rPr>
        <w:t>今回の国からの要請につきましては、以下</w:t>
      </w:r>
      <w:r w:rsidR="0044637F">
        <w:rPr>
          <w:rFonts w:hint="eastAsia"/>
        </w:rPr>
        <w:t>を参考に</w:t>
      </w:r>
      <w:r>
        <w:rPr>
          <w:rFonts w:hint="eastAsia"/>
        </w:rPr>
        <w:t>確認等</w:t>
      </w:r>
      <w:r w:rsidR="0044637F">
        <w:rPr>
          <w:rFonts w:hint="eastAsia"/>
        </w:rPr>
        <w:t>を実施していただくよう</w:t>
      </w:r>
      <w:r>
        <w:rPr>
          <w:rFonts w:hint="eastAsia"/>
        </w:rPr>
        <w:t>お願いします。</w:t>
      </w:r>
    </w:p>
    <w:p w14:paraId="4D49EB53" w14:textId="77777777" w:rsidR="001B7581" w:rsidRDefault="001B7581"/>
    <w:p w14:paraId="4B3F6441" w14:textId="33CF27B1" w:rsidR="001B7581" w:rsidRDefault="001B7581" w:rsidP="00133966">
      <w:pPr>
        <w:ind w:left="210" w:hangingChars="100" w:hanging="210"/>
      </w:pPr>
      <w:r>
        <w:rPr>
          <w:rFonts w:hint="eastAsia"/>
        </w:rPr>
        <w:t>１．特定製造所に休止中の</w:t>
      </w:r>
      <w:r w:rsidRPr="001B7581">
        <w:t>貯槽・容器等</w:t>
      </w:r>
      <w:r>
        <w:rPr>
          <w:rFonts w:hint="eastAsia"/>
        </w:rPr>
        <w:t>が存在するか。</w:t>
      </w:r>
      <w:r w:rsidR="00133966">
        <w:rPr>
          <w:rFonts w:hint="eastAsia"/>
        </w:rPr>
        <w:t>今回の対応は、休止ではなく廃止したものや撤去予定のものが特定製造所に置いている場合を含みます。</w:t>
      </w:r>
    </w:p>
    <w:p w14:paraId="2BEF31EA" w14:textId="7669E72A" w:rsidR="001B7581" w:rsidRDefault="001B7581" w:rsidP="00431500">
      <w:pPr>
        <w:ind w:firstLineChars="100" w:firstLine="210"/>
      </w:pPr>
      <w:r>
        <w:rPr>
          <w:rFonts w:hint="eastAsia"/>
        </w:rPr>
        <w:t>（１）存在しない場合</w:t>
      </w:r>
    </w:p>
    <w:p w14:paraId="4C4828D4" w14:textId="052DA89C" w:rsidR="001B7581" w:rsidRDefault="001B7581" w:rsidP="00431500">
      <w:pPr>
        <w:ind w:firstLineChars="400" w:firstLine="840"/>
      </w:pPr>
      <w:r>
        <w:rPr>
          <w:rFonts w:hint="eastAsia"/>
        </w:rPr>
        <w:t>特段対応の必要はありません。今回の対応は終了</w:t>
      </w:r>
      <w:r w:rsidR="0070776D">
        <w:rPr>
          <w:rFonts w:hint="eastAsia"/>
        </w:rPr>
        <w:t>（以下の対応は不要）</w:t>
      </w:r>
      <w:r>
        <w:rPr>
          <w:rFonts w:hint="eastAsia"/>
        </w:rPr>
        <w:t>となります。</w:t>
      </w:r>
    </w:p>
    <w:p w14:paraId="659EAB4C" w14:textId="28515233" w:rsidR="001B7581" w:rsidRDefault="001B7581" w:rsidP="00431500">
      <w:pPr>
        <w:ind w:firstLineChars="100" w:firstLine="210"/>
      </w:pPr>
      <w:r>
        <w:rPr>
          <w:rFonts w:hint="eastAsia"/>
        </w:rPr>
        <w:t>（２）存在する場合</w:t>
      </w:r>
    </w:p>
    <w:p w14:paraId="7C3553F2" w14:textId="29BE2BA6" w:rsidR="00E76A38" w:rsidRDefault="001539EE" w:rsidP="0044637F">
      <w:pPr>
        <w:ind w:leftChars="300" w:left="630" w:firstLineChars="100" w:firstLine="210"/>
      </w:pPr>
      <w:r>
        <w:rPr>
          <w:rFonts w:hint="eastAsia"/>
        </w:rPr>
        <w:t>当該貯槽・容器等について、</w:t>
      </w:r>
      <w:r w:rsidR="00E76A38">
        <w:rPr>
          <w:rFonts w:hint="eastAsia"/>
        </w:rPr>
        <w:t>ガス事業法の技術基準に適合しているか確認してください。また、</w:t>
      </w:r>
      <w:r>
        <w:rPr>
          <w:rFonts w:hint="eastAsia"/>
        </w:rPr>
        <w:t>以下の①または②いずれかの対応をしているか確認してください。</w:t>
      </w:r>
    </w:p>
    <w:p w14:paraId="0BD64807" w14:textId="3F9C8234" w:rsidR="001539EE" w:rsidRDefault="001539EE" w:rsidP="0044637F">
      <w:pPr>
        <w:ind w:leftChars="400" w:left="840"/>
      </w:pPr>
      <w:r>
        <w:rPr>
          <w:rFonts w:hint="eastAsia"/>
        </w:rPr>
        <w:t>①保安規程に定める巡視・点検・</w:t>
      </w:r>
      <w:r w:rsidR="00431500">
        <w:rPr>
          <w:rFonts w:hint="eastAsia"/>
        </w:rPr>
        <w:t>検査（定期自主検査を含む。）</w:t>
      </w:r>
      <w:r>
        <w:rPr>
          <w:rFonts w:hint="eastAsia"/>
        </w:rPr>
        <w:t>を実施し</w:t>
      </w:r>
      <w:r w:rsidR="00E76A38">
        <w:rPr>
          <w:rFonts w:hint="eastAsia"/>
        </w:rPr>
        <w:t>て</w:t>
      </w:r>
      <w:r>
        <w:rPr>
          <w:rFonts w:hint="eastAsia"/>
        </w:rPr>
        <w:t>いるか。</w:t>
      </w:r>
    </w:p>
    <w:p w14:paraId="39D40C8D" w14:textId="28BF04FD" w:rsidR="00431500" w:rsidRDefault="001539EE" w:rsidP="0044637F">
      <w:pPr>
        <w:ind w:leftChars="400" w:left="1050" w:hangingChars="100" w:hanging="210"/>
      </w:pPr>
      <w:r>
        <w:rPr>
          <w:rFonts w:hint="eastAsia"/>
        </w:rPr>
        <w:t>②</w:t>
      </w:r>
      <w:r w:rsidRPr="001539EE">
        <w:t>他のガス工作物と確実に縁切りされており、かつ窒素等の不活性ガスで置換することにより経年</w:t>
      </w:r>
      <w:r w:rsidR="0025457E">
        <w:rPr>
          <w:rFonts w:hint="eastAsia"/>
        </w:rPr>
        <w:t>劣化</w:t>
      </w:r>
      <w:r w:rsidRPr="001539EE">
        <w:t>を防ぐような措置が講じてある</w:t>
      </w:r>
      <w:r>
        <w:rPr>
          <w:rFonts w:hint="eastAsia"/>
        </w:rPr>
        <w:t>か。</w:t>
      </w:r>
    </w:p>
    <w:p w14:paraId="4FF38ED3" w14:textId="7501AAFC" w:rsidR="0044637F" w:rsidRDefault="00133966" w:rsidP="0044637F">
      <w:pPr>
        <w:ind w:leftChars="300" w:left="630" w:firstLineChars="100" w:firstLine="210"/>
      </w:pPr>
      <w:r>
        <w:rPr>
          <w:rFonts w:hint="eastAsia"/>
        </w:rPr>
        <w:t>以上</w:t>
      </w:r>
      <w:r w:rsidR="00B43017">
        <w:rPr>
          <w:rFonts w:hint="eastAsia"/>
        </w:rPr>
        <w:t>確認</w:t>
      </w:r>
      <w:r>
        <w:rPr>
          <w:rFonts w:hint="eastAsia"/>
        </w:rPr>
        <w:t>の</w:t>
      </w:r>
      <w:r w:rsidR="0044637F">
        <w:rPr>
          <w:rFonts w:hint="eastAsia"/>
        </w:rPr>
        <w:t>結果、ガス事業法の技術基準に適合しており、かつ、①または②いずれかの対応がとれている場合は行政への報告は不要ですが、当該対応を継続してください。</w:t>
      </w:r>
    </w:p>
    <w:p w14:paraId="60656651" w14:textId="77777777" w:rsidR="00431500" w:rsidRDefault="00431500"/>
    <w:p w14:paraId="5155E256" w14:textId="6A9F8E0D" w:rsidR="00431500" w:rsidRDefault="00431500" w:rsidP="00E76A38">
      <w:pPr>
        <w:ind w:left="210" w:hangingChars="100" w:hanging="210"/>
      </w:pPr>
      <w:r>
        <w:rPr>
          <w:rFonts w:hint="eastAsia"/>
        </w:rPr>
        <w:t>２．上記１．（２）の場合であって、</w:t>
      </w:r>
      <w:r w:rsidR="00E76A38" w:rsidRPr="00E76A38">
        <w:t>ガス事業法の技術基準に適合し</w:t>
      </w:r>
      <w:r w:rsidR="00E76A38">
        <w:rPr>
          <w:rFonts w:hint="eastAsia"/>
        </w:rPr>
        <w:t>ていない場合、または、</w:t>
      </w:r>
      <w:r>
        <w:rPr>
          <w:rFonts w:hint="eastAsia"/>
        </w:rPr>
        <w:t>①</w:t>
      </w:r>
      <w:r w:rsidR="00E76A38">
        <w:rPr>
          <w:rFonts w:hint="eastAsia"/>
        </w:rPr>
        <w:t>若しくは</w:t>
      </w:r>
      <w:r>
        <w:rPr>
          <w:rFonts w:hint="eastAsia"/>
        </w:rPr>
        <w:t>②の措置が</w:t>
      </w:r>
      <w:r w:rsidR="0044637F">
        <w:rPr>
          <w:rFonts w:hint="eastAsia"/>
        </w:rPr>
        <w:t>と</w:t>
      </w:r>
      <w:r>
        <w:rPr>
          <w:rFonts w:hint="eastAsia"/>
        </w:rPr>
        <w:t>られていない場合</w:t>
      </w:r>
    </w:p>
    <w:p w14:paraId="0A16D89E" w14:textId="3C1CA7C4" w:rsidR="00431500" w:rsidRDefault="00431500" w:rsidP="00DF3BBB">
      <w:pPr>
        <w:ind w:leftChars="200" w:left="420" w:firstLineChars="100" w:firstLine="210"/>
      </w:pPr>
      <w:r>
        <w:rPr>
          <w:rFonts w:hint="eastAsia"/>
        </w:rPr>
        <w:t>至急、</w:t>
      </w:r>
      <w:r w:rsidR="00DF3BBB">
        <w:rPr>
          <w:rFonts w:hint="eastAsia"/>
        </w:rPr>
        <w:t>①または②</w:t>
      </w:r>
      <w:r w:rsidR="0044637F">
        <w:rPr>
          <w:rFonts w:hint="eastAsia"/>
        </w:rPr>
        <w:t>等</w:t>
      </w:r>
      <w:r w:rsidR="00DF3BBB">
        <w:rPr>
          <w:rFonts w:hint="eastAsia"/>
        </w:rPr>
        <w:t>の措置を</w:t>
      </w:r>
      <w:r w:rsidR="0044637F">
        <w:rPr>
          <w:rFonts w:hint="eastAsia"/>
        </w:rPr>
        <w:t>と</w:t>
      </w:r>
      <w:r w:rsidR="00DF3BBB">
        <w:rPr>
          <w:rFonts w:hint="eastAsia"/>
        </w:rPr>
        <w:t>り、ガス事業法における技術基準に適合するようにし、</w:t>
      </w:r>
      <w:r w:rsidR="0070776D">
        <w:rPr>
          <w:rFonts w:hint="eastAsia"/>
        </w:rPr>
        <w:t>その状況を</w:t>
      </w:r>
      <w:r w:rsidR="00DF3BBB">
        <w:rPr>
          <w:rFonts w:hint="eastAsia"/>
        </w:rPr>
        <w:t>当該特定製造所の所在地を管轄する産業保安監督部保安課等まで報告してください。</w:t>
      </w:r>
    </w:p>
    <w:p w14:paraId="21C8B78C" w14:textId="77777777" w:rsidR="00E76A38" w:rsidRDefault="00E76A38" w:rsidP="00E76A38"/>
    <w:p w14:paraId="39E73FD9" w14:textId="77777777" w:rsidR="00E76A38" w:rsidRDefault="00E76A38" w:rsidP="00E76A38"/>
    <w:p w14:paraId="6641E552" w14:textId="18FE0E77" w:rsidR="00E76A38" w:rsidRDefault="00E76A38" w:rsidP="00E76A38">
      <w:r>
        <w:rPr>
          <w:rFonts w:hint="eastAsia"/>
        </w:rPr>
        <w:t>（参考２）</w:t>
      </w:r>
    </w:p>
    <w:p w14:paraId="46A7F6A8" w14:textId="77777777" w:rsidR="00133966" w:rsidRPr="00F954D7" w:rsidRDefault="00133966" w:rsidP="00133966">
      <w:pPr>
        <w:spacing w:line="360" w:lineRule="exact"/>
        <w:rPr>
          <w:sz w:val="24"/>
          <w:szCs w:val="24"/>
        </w:rPr>
      </w:pPr>
      <w:r w:rsidRPr="00F954D7">
        <w:rPr>
          <w:sz w:val="24"/>
          <w:szCs w:val="24"/>
        </w:rPr>
        <w:t>ガス工作物の技術上の基準の細目を定める告示</w:t>
      </w:r>
      <w:r w:rsidRPr="00F954D7">
        <w:rPr>
          <w:rFonts w:hint="eastAsia"/>
          <w:sz w:val="24"/>
          <w:szCs w:val="24"/>
        </w:rPr>
        <w:t>で示される第1種</w:t>
      </w:r>
      <w:r w:rsidRPr="00F954D7">
        <w:rPr>
          <w:sz w:val="24"/>
          <w:szCs w:val="24"/>
        </w:rPr>
        <w:t>保安物件</w:t>
      </w:r>
      <w:r w:rsidRPr="00F954D7">
        <w:rPr>
          <w:rFonts w:hint="eastAsia"/>
          <w:sz w:val="24"/>
          <w:szCs w:val="24"/>
        </w:rPr>
        <w:t>について</w:t>
      </w:r>
    </w:p>
    <w:p w14:paraId="34AE71AF" w14:textId="77777777" w:rsidR="00133966" w:rsidRDefault="00133966" w:rsidP="00133966"/>
    <w:p w14:paraId="234C1A92" w14:textId="77777777" w:rsidR="00133966" w:rsidRDefault="00133966" w:rsidP="00133966">
      <w:pPr>
        <w:ind w:left="420" w:hangingChars="200" w:hanging="420"/>
      </w:pPr>
      <w:r>
        <w:rPr>
          <w:rFonts w:hint="eastAsia"/>
        </w:rPr>
        <w:t xml:space="preserve">１　</w:t>
      </w:r>
      <w:r w:rsidRPr="000B285F">
        <w:t>学校教育法第</w:t>
      </w:r>
      <w:r>
        <w:rPr>
          <w:rFonts w:hint="eastAsia"/>
        </w:rPr>
        <w:t>1</w:t>
      </w:r>
      <w:r w:rsidRPr="000B285F">
        <w:t>条に定める学校のうち、</w:t>
      </w:r>
      <w:r w:rsidRPr="00F954D7">
        <w:rPr>
          <w:b/>
          <w:bCs/>
          <w:u w:val="single"/>
        </w:rPr>
        <w:t>小学校、中学校、義務教育学校、高等学校、高等専門学校、特別支援学校又は幼稚園</w:t>
      </w:r>
    </w:p>
    <w:p w14:paraId="39A41E45" w14:textId="77777777" w:rsidR="00133966" w:rsidRDefault="00133966" w:rsidP="00133966">
      <w:r>
        <w:rPr>
          <w:rFonts w:hint="eastAsia"/>
        </w:rPr>
        <w:t xml:space="preserve">２　</w:t>
      </w:r>
      <w:r w:rsidRPr="000B285F">
        <w:t>医療法第</w:t>
      </w:r>
      <w:r>
        <w:rPr>
          <w:rFonts w:hint="eastAsia"/>
        </w:rPr>
        <w:t>1</w:t>
      </w:r>
      <w:r w:rsidRPr="000B285F">
        <w:t>条の</w:t>
      </w:r>
      <w:r>
        <w:rPr>
          <w:rFonts w:hint="eastAsia"/>
        </w:rPr>
        <w:t>5</w:t>
      </w:r>
      <w:r w:rsidRPr="000B285F">
        <w:t>第</w:t>
      </w:r>
      <w:r>
        <w:rPr>
          <w:rFonts w:hint="eastAsia"/>
        </w:rPr>
        <w:t>1</w:t>
      </w:r>
      <w:r w:rsidRPr="000B285F">
        <w:t>項に定める</w:t>
      </w:r>
      <w:r w:rsidRPr="00F954D7">
        <w:rPr>
          <w:b/>
          <w:bCs/>
          <w:u w:val="single"/>
        </w:rPr>
        <w:t>病院</w:t>
      </w:r>
    </w:p>
    <w:p w14:paraId="6829FEA0" w14:textId="77777777" w:rsidR="00133966" w:rsidRDefault="00133966" w:rsidP="00133966">
      <w:pPr>
        <w:ind w:left="420" w:hangingChars="200" w:hanging="420"/>
      </w:pPr>
      <w:r>
        <w:rPr>
          <w:rFonts w:hint="eastAsia"/>
        </w:rPr>
        <w:t xml:space="preserve">３　</w:t>
      </w:r>
      <w:r w:rsidRPr="00F954D7">
        <w:rPr>
          <w:b/>
          <w:bCs/>
          <w:u w:val="single"/>
        </w:rPr>
        <w:t>劇場、映画館、演芸場、公会堂その他これらに類する施設</w:t>
      </w:r>
      <w:r w:rsidRPr="000B285F">
        <w:t>であって、収容定員</w:t>
      </w:r>
      <w:r>
        <w:rPr>
          <w:rFonts w:hint="eastAsia"/>
        </w:rPr>
        <w:t>300</w:t>
      </w:r>
      <w:r w:rsidRPr="000B285F">
        <w:t>人以上のもの</w:t>
      </w:r>
    </w:p>
    <w:p w14:paraId="2E1A3DDB" w14:textId="77777777" w:rsidR="00133966" w:rsidRDefault="00133966" w:rsidP="00133966">
      <w:pPr>
        <w:ind w:left="420" w:hangingChars="200" w:hanging="420"/>
      </w:pPr>
      <w:r>
        <w:rPr>
          <w:rFonts w:hint="eastAsia"/>
        </w:rPr>
        <w:t xml:space="preserve">４　</w:t>
      </w:r>
      <w:r w:rsidRPr="000B285F">
        <w:t>生活保護法第</w:t>
      </w:r>
      <w:r>
        <w:rPr>
          <w:rFonts w:hint="eastAsia"/>
        </w:rPr>
        <w:t>38</w:t>
      </w:r>
      <w:r w:rsidRPr="000B285F">
        <w:t>条第</w:t>
      </w:r>
      <w:r>
        <w:rPr>
          <w:rFonts w:hint="eastAsia"/>
        </w:rPr>
        <w:t>1</w:t>
      </w:r>
      <w:r w:rsidRPr="000B285F">
        <w:t>項の</w:t>
      </w:r>
      <w:r w:rsidRPr="00F954D7">
        <w:rPr>
          <w:b/>
          <w:bCs/>
          <w:u w:val="single"/>
        </w:rPr>
        <w:t>保護施設</w:t>
      </w:r>
      <w:r w:rsidRPr="000B285F">
        <w:t>（授産施設及び宿所提供施設を除く。）、児童福祉法第</w:t>
      </w:r>
      <w:r>
        <w:rPr>
          <w:rFonts w:hint="eastAsia"/>
        </w:rPr>
        <w:t>7</w:t>
      </w:r>
      <w:r w:rsidRPr="000B285F">
        <w:t>条の</w:t>
      </w:r>
      <w:r w:rsidRPr="00F954D7">
        <w:rPr>
          <w:b/>
          <w:bCs/>
          <w:u w:val="single"/>
        </w:rPr>
        <w:t>児童福祉施設</w:t>
      </w:r>
      <w:r w:rsidRPr="000B285F">
        <w:t>、老人福祉法第</w:t>
      </w:r>
      <w:r>
        <w:rPr>
          <w:rFonts w:hint="eastAsia"/>
        </w:rPr>
        <w:t>5</w:t>
      </w:r>
      <w:r w:rsidRPr="000B285F">
        <w:t>条の</w:t>
      </w:r>
      <w:r>
        <w:rPr>
          <w:rFonts w:hint="eastAsia"/>
        </w:rPr>
        <w:t>3</w:t>
      </w:r>
      <w:r w:rsidRPr="000B285F">
        <w:t>の</w:t>
      </w:r>
      <w:r w:rsidRPr="00F954D7">
        <w:rPr>
          <w:b/>
          <w:bCs/>
          <w:u w:val="single"/>
        </w:rPr>
        <w:t>老人福祉施設</w:t>
      </w:r>
      <w:r w:rsidRPr="000B285F">
        <w:t>若しくは同法第</w:t>
      </w:r>
      <w:r>
        <w:rPr>
          <w:rFonts w:hint="eastAsia"/>
        </w:rPr>
        <w:t>29</w:t>
      </w:r>
      <w:r w:rsidRPr="000B285F">
        <w:t>条第</w:t>
      </w:r>
      <w:r>
        <w:rPr>
          <w:rFonts w:hint="eastAsia"/>
        </w:rPr>
        <w:t>1</w:t>
      </w:r>
      <w:r w:rsidRPr="000B285F">
        <w:t>項の</w:t>
      </w:r>
      <w:r w:rsidRPr="00F954D7">
        <w:rPr>
          <w:b/>
          <w:bCs/>
          <w:u w:val="single"/>
        </w:rPr>
        <w:t>有料老人ホーム</w:t>
      </w:r>
      <w:r w:rsidRPr="000B285F">
        <w:t>、介護保険法第</w:t>
      </w:r>
      <w:r>
        <w:rPr>
          <w:rFonts w:hint="eastAsia"/>
        </w:rPr>
        <w:t>8</w:t>
      </w:r>
      <w:r w:rsidRPr="000B285F">
        <w:t>条第</w:t>
      </w:r>
      <w:r>
        <w:rPr>
          <w:rFonts w:hint="eastAsia"/>
        </w:rPr>
        <w:t>28</w:t>
      </w:r>
      <w:r w:rsidRPr="000B285F">
        <w:t>項の</w:t>
      </w:r>
      <w:r w:rsidRPr="00F954D7">
        <w:rPr>
          <w:b/>
          <w:bCs/>
          <w:u w:val="single"/>
        </w:rPr>
        <w:t>介護老人保健施設</w:t>
      </w:r>
      <w:r w:rsidRPr="000B285F">
        <w:t>、地域における医療及び介護の総合的な確保の促進に関する法律第</w:t>
      </w:r>
      <w:r>
        <w:rPr>
          <w:rFonts w:hint="eastAsia"/>
        </w:rPr>
        <w:t>2</w:t>
      </w:r>
      <w:r w:rsidRPr="000B285F">
        <w:t>条第</w:t>
      </w:r>
      <w:r>
        <w:rPr>
          <w:rFonts w:hint="eastAsia"/>
        </w:rPr>
        <w:t>4</w:t>
      </w:r>
      <w:r w:rsidRPr="000B285F">
        <w:t>項（第</w:t>
      </w:r>
      <w:r>
        <w:rPr>
          <w:rFonts w:hint="eastAsia"/>
        </w:rPr>
        <w:t>4</w:t>
      </w:r>
      <w:r w:rsidRPr="000B285F">
        <w:t>号を除く。）の</w:t>
      </w:r>
      <w:r w:rsidRPr="00F954D7">
        <w:rPr>
          <w:b/>
          <w:bCs/>
          <w:u w:val="single"/>
        </w:rPr>
        <w:t>特定民間施設</w:t>
      </w:r>
      <w:r w:rsidRPr="000B285F">
        <w:t>、身体障害</w:t>
      </w:r>
      <w:r w:rsidRPr="000B285F">
        <w:lastRenderedPageBreak/>
        <w:t>者福祉法第</w:t>
      </w:r>
      <w:r>
        <w:rPr>
          <w:rFonts w:hint="eastAsia"/>
        </w:rPr>
        <w:t>5</w:t>
      </w:r>
      <w:r w:rsidRPr="000B285F">
        <w:t>条第</w:t>
      </w:r>
      <w:r>
        <w:rPr>
          <w:rFonts w:hint="eastAsia"/>
        </w:rPr>
        <w:t>1</w:t>
      </w:r>
      <w:r w:rsidRPr="000B285F">
        <w:t>項の</w:t>
      </w:r>
      <w:r w:rsidRPr="00F954D7">
        <w:rPr>
          <w:b/>
          <w:bCs/>
          <w:u w:val="single"/>
        </w:rPr>
        <w:t>身体障害者社会参加支援施設</w:t>
      </w:r>
      <w:r w:rsidRPr="000B285F">
        <w:t>、障害者の日常生活及び社会生活を総合的に支援するための法律第</w:t>
      </w:r>
      <w:r>
        <w:rPr>
          <w:rFonts w:hint="eastAsia"/>
        </w:rPr>
        <w:t>5</w:t>
      </w:r>
      <w:r w:rsidRPr="000B285F">
        <w:t>条第</w:t>
      </w:r>
      <w:r>
        <w:rPr>
          <w:rFonts w:hint="eastAsia"/>
        </w:rPr>
        <w:t>1</w:t>
      </w:r>
      <w:r w:rsidRPr="000B285F">
        <w:t>項の</w:t>
      </w:r>
      <w:r w:rsidRPr="00F954D7">
        <w:rPr>
          <w:b/>
          <w:bCs/>
          <w:u w:val="single"/>
        </w:rPr>
        <w:t>障害福祉サービス事業</w:t>
      </w:r>
      <w:r w:rsidRPr="000B285F">
        <w:t>（同条第</w:t>
      </w:r>
      <w:r>
        <w:rPr>
          <w:rFonts w:hint="eastAsia"/>
        </w:rPr>
        <w:t>7</w:t>
      </w:r>
      <w:r w:rsidRPr="000B285F">
        <w:t>項の生活介護、同条第</w:t>
      </w:r>
      <w:r>
        <w:rPr>
          <w:rFonts w:hint="eastAsia"/>
        </w:rPr>
        <w:t>12</w:t>
      </w:r>
      <w:r w:rsidRPr="000B285F">
        <w:t>項の自立訓練、同条第</w:t>
      </w:r>
      <w:r>
        <w:rPr>
          <w:rFonts w:hint="eastAsia"/>
        </w:rPr>
        <w:t>13</w:t>
      </w:r>
      <w:r w:rsidRPr="000B285F">
        <w:t>項の就労移行支援又は同条第</w:t>
      </w:r>
      <w:r>
        <w:rPr>
          <w:rFonts w:hint="eastAsia"/>
        </w:rPr>
        <w:t>14</w:t>
      </w:r>
      <w:r w:rsidRPr="000B285F">
        <w:t>項の就労継続支援に限る。）</w:t>
      </w:r>
      <w:r w:rsidRPr="00F954D7">
        <w:rPr>
          <w:b/>
          <w:bCs/>
          <w:u w:val="single"/>
        </w:rPr>
        <w:t>を行う施設</w:t>
      </w:r>
      <w:r w:rsidRPr="000B285F">
        <w:t>、同条第</w:t>
      </w:r>
      <w:r>
        <w:rPr>
          <w:rFonts w:hint="eastAsia"/>
        </w:rPr>
        <w:t>11</w:t>
      </w:r>
      <w:r w:rsidRPr="000B285F">
        <w:t>項の</w:t>
      </w:r>
      <w:r w:rsidRPr="00F954D7">
        <w:rPr>
          <w:b/>
          <w:bCs/>
          <w:u w:val="single"/>
        </w:rPr>
        <w:t>障害者支援施設</w:t>
      </w:r>
      <w:r w:rsidRPr="000B285F">
        <w:t>、同条第</w:t>
      </w:r>
      <w:r>
        <w:rPr>
          <w:rFonts w:hint="eastAsia"/>
        </w:rPr>
        <w:t>25</w:t>
      </w:r>
      <w:r w:rsidRPr="000B285F">
        <w:t>項の</w:t>
      </w:r>
      <w:r w:rsidRPr="00F954D7">
        <w:rPr>
          <w:b/>
          <w:bCs/>
          <w:u w:val="single"/>
        </w:rPr>
        <w:t>地域活動支援センター</w:t>
      </w:r>
      <w:r w:rsidRPr="000B285F">
        <w:t>若しくは同条第</w:t>
      </w:r>
      <w:r>
        <w:rPr>
          <w:rFonts w:hint="eastAsia"/>
        </w:rPr>
        <w:t>26</w:t>
      </w:r>
      <w:r w:rsidRPr="000B285F">
        <w:t>項の</w:t>
      </w:r>
      <w:r w:rsidRPr="00F954D7">
        <w:rPr>
          <w:b/>
          <w:bCs/>
          <w:u w:val="single"/>
        </w:rPr>
        <w:t>福祉ホーム</w:t>
      </w:r>
      <w:r w:rsidRPr="000B285F">
        <w:t>、職業能力開発促進法第</w:t>
      </w:r>
      <w:r>
        <w:rPr>
          <w:rFonts w:hint="eastAsia"/>
        </w:rPr>
        <w:t>15</w:t>
      </w:r>
      <w:r w:rsidRPr="000B285F">
        <w:t>条の</w:t>
      </w:r>
      <w:r>
        <w:rPr>
          <w:rFonts w:hint="eastAsia"/>
        </w:rPr>
        <w:t>7</w:t>
      </w:r>
      <w:r w:rsidRPr="000B285F">
        <w:t>第</w:t>
      </w:r>
      <w:r>
        <w:rPr>
          <w:rFonts w:hint="eastAsia"/>
        </w:rPr>
        <w:t>1</w:t>
      </w:r>
      <w:r w:rsidRPr="000B285F">
        <w:t>項第</w:t>
      </w:r>
      <w:r>
        <w:rPr>
          <w:rFonts w:hint="eastAsia"/>
        </w:rPr>
        <w:t>5</w:t>
      </w:r>
      <w:r w:rsidRPr="000B285F">
        <w:t>号の</w:t>
      </w:r>
      <w:r w:rsidRPr="00F954D7">
        <w:rPr>
          <w:b/>
          <w:bCs/>
          <w:u w:val="single"/>
        </w:rPr>
        <w:t>障害者職業能力開発校</w:t>
      </w:r>
      <w:r w:rsidRPr="000B285F">
        <w:t>又は母子及び父子並びに寡婦福祉法第</w:t>
      </w:r>
      <w:r>
        <w:rPr>
          <w:rFonts w:hint="eastAsia"/>
        </w:rPr>
        <w:t>39</w:t>
      </w:r>
      <w:r w:rsidRPr="000B285F">
        <w:t>条第</w:t>
      </w:r>
      <w:r>
        <w:rPr>
          <w:rFonts w:hint="eastAsia"/>
        </w:rPr>
        <w:t>1</w:t>
      </w:r>
      <w:r w:rsidRPr="000B285F">
        <w:t>項の</w:t>
      </w:r>
      <w:r w:rsidRPr="00F954D7">
        <w:rPr>
          <w:b/>
          <w:bCs/>
          <w:u w:val="single"/>
        </w:rPr>
        <w:t>母子・父子福祉施設</w:t>
      </w:r>
      <w:r w:rsidRPr="000B285F">
        <w:t>であって、収容定員</w:t>
      </w:r>
      <w:r>
        <w:rPr>
          <w:rFonts w:hint="eastAsia"/>
        </w:rPr>
        <w:t>20</w:t>
      </w:r>
      <w:r w:rsidRPr="000B285F">
        <w:t>人以上のもの</w:t>
      </w:r>
    </w:p>
    <w:p w14:paraId="3FC3CC75" w14:textId="77777777" w:rsidR="00133966" w:rsidRDefault="00133966" w:rsidP="00133966">
      <w:pPr>
        <w:ind w:left="420" w:hangingChars="200" w:hanging="420"/>
      </w:pPr>
      <w:r>
        <w:rPr>
          <w:rFonts w:hint="eastAsia"/>
        </w:rPr>
        <w:t xml:space="preserve">５　</w:t>
      </w:r>
      <w:r w:rsidRPr="000B285F">
        <w:t>文化財保護法の規定によって</w:t>
      </w:r>
      <w:r w:rsidRPr="00F954D7">
        <w:rPr>
          <w:b/>
          <w:bCs/>
          <w:u w:val="single"/>
        </w:rPr>
        <w:t>重要文化財</w:t>
      </w:r>
      <w:r w:rsidRPr="000B285F">
        <w:t>、</w:t>
      </w:r>
      <w:r w:rsidRPr="00F954D7">
        <w:rPr>
          <w:b/>
          <w:bCs/>
          <w:u w:val="single"/>
        </w:rPr>
        <w:t>重要有形民族文化財</w:t>
      </w:r>
      <w:r w:rsidRPr="000B285F">
        <w:t>、</w:t>
      </w:r>
      <w:r w:rsidRPr="00F954D7">
        <w:rPr>
          <w:b/>
          <w:bCs/>
          <w:u w:val="single"/>
        </w:rPr>
        <w:t>史跡名勝天然記念物</w:t>
      </w:r>
      <w:r w:rsidRPr="000B285F">
        <w:t>若しくは</w:t>
      </w:r>
      <w:r w:rsidRPr="00F954D7">
        <w:rPr>
          <w:b/>
          <w:bCs/>
          <w:u w:val="single"/>
        </w:rPr>
        <w:t>重要な文化財</w:t>
      </w:r>
      <w:r w:rsidRPr="000B285F">
        <w:t>として指定され、又は旧重要美術品等の保存に関する法律の規定によって</w:t>
      </w:r>
      <w:r w:rsidRPr="00F954D7">
        <w:rPr>
          <w:b/>
          <w:bCs/>
          <w:u w:val="single"/>
        </w:rPr>
        <w:t>重要美術品</w:t>
      </w:r>
      <w:r w:rsidRPr="000B285F">
        <w:t>として認定された建築物</w:t>
      </w:r>
    </w:p>
    <w:p w14:paraId="55876C6F" w14:textId="77777777" w:rsidR="00133966" w:rsidRDefault="00133966" w:rsidP="00133966">
      <w:pPr>
        <w:ind w:left="420" w:hangingChars="200" w:hanging="420"/>
      </w:pPr>
      <w:r>
        <w:rPr>
          <w:rFonts w:hint="eastAsia"/>
        </w:rPr>
        <w:t xml:space="preserve">６　</w:t>
      </w:r>
      <w:r w:rsidRPr="000B285F">
        <w:t>博物館法第</w:t>
      </w:r>
      <w:r>
        <w:rPr>
          <w:rFonts w:hint="eastAsia"/>
        </w:rPr>
        <w:t>2</w:t>
      </w:r>
      <w:r w:rsidRPr="000B285F">
        <w:t>条に定める</w:t>
      </w:r>
      <w:r w:rsidRPr="00F954D7">
        <w:rPr>
          <w:b/>
          <w:bCs/>
          <w:u w:val="single"/>
        </w:rPr>
        <w:t>博物館</w:t>
      </w:r>
      <w:r w:rsidRPr="000B285F">
        <w:t>及び同法第</w:t>
      </w:r>
      <w:r>
        <w:rPr>
          <w:rFonts w:hint="eastAsia"/>
        </w:rPr>
        <w:t>29</w:t>
      </w:r>
      <w:r w:rsidRPr="000B285F">
        <w:t>条の規定により</w:t>
      </w:r>
      <w:r w:rsidRPr="00F954D7">
        <w:rPr>
          <w:b/>
          <w:bCs/>
          <w:u w:val="single"/>
        </w:rPr>
        <w:t>博物館に相当する施設</w:t>
      </w:r>
      <w:r w:rsidRPr="000B285F">
        <w:t>として指定された施設</w:t>
      </w:r>
    </w:p>
    <w:p w14:paraId="4757C68D" w14:textId="77777777" w:rsidR="00133966" w:rsidRDefault="00133966" w:rsidP="00133966">
      <w:r>
        <w:rPr>
          <w:rFonts w:hint="eastAsia"/>
        </w:rPr>
        <w:t>７　1</w:t>
      </w:r>
      <w:r w:rsidRPr="000B285F">
        <w:t>日に平均</w:t>
      </w:r>
      <w:r>
        <w:rPr>
          <w:rFonts w:hint="eastAsia"/>
        </w:rPr>
        <w:t>2</w:t>
      </w:r>
      <w:r w:rsidRPr="000B285F">
        <w:t>万人以上の者が乗降する</w:t>
      </w:r>
      <w:r w:rsidRPr="00F954D7">
        <w:rPr>
          <w:b/>
          <w:bCs/>
          <w:u w:val="single"/>
        </w:rPr>
        <w:t>駅の母屋及びプラットホーム</w:t>
      </w:r>
    </w:p>
    <w:p w14:paraId="0D68DC1A" w14:textId="77777777" w:rsidR="00133966" w:rsidRDefault="00133966" w:rsidP="00133966">
      <w:pPr>
        <w:ind w:left="420" w:hangingChars="200" w:hanging="420"/>
      </w:pPr>
      <w:r>
        <w:rPr>
          <w:rFonts w:hint="eastAsia"/>
        </w:rPr>
        <w:t xml:space="preserve">８　</w:t>
      </w:r>
      <w:r w:rsidRPr="00F954D7">
        <w:rPr>
          <w:b/>
          <w:bCs/>
          <w:u w:val="single"/>
        </w:rPr>
        <w:t>百貨店、マーケット、公衆浴場、ホテル、旅館その他不特定かつ多数の者を収容することを目的とする建築物</w:t>
      </w:r>
      <w:r w:rsidRPr="000B285F">
        <w:t>（仮設建築物を除く。）であって、その用途に供する部分の床面積の合計が、</w:t>
      </w:r>
      <w:r>
        <w:rPr>
          <w:rFonts w:hint="eastAsia"/>
        </w:rPr>
        <w:t>1,000</w:t>
      </w:r>
      <w:r w:rsidRPr="000B285F">
        <w:t>平方メートル以上のもの</w:t>
      </w:r>
    </w:p>
    <w:p w14:paraId="2FE38667" w14:textId="77777777" w:rsidR="00133966" w:rsidRPr="00133966" w:rsidRDefault="00133966" w:rsidP="00E76A38"/>
    <w:sectPr w:rsidR="00133966" w:rsidRPr="00133966" w:rsidSect="00133966">
      <w:footerReference w:type="default" r:id="rId6"/>
      <w:pgSz w:w="11906" w:h="16838"/>
      <w:pgMar w:top="1418" w:right="1418" w:bottom="1418" w:left="1418"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2783" w14:textId="77777777" w:rsidR="000355CD" w:rsidRDefault="000355CD" w:rsidP="00E76A38">
      <w:r>
        <w:separator/>
      </w:r>
    </w:p>
  </w:endnote>
  <w:endnote w:type="continuationSeparator" w:id="0">
    <w:p w14:paraId="2B7765AA" w14:textId="77777777" w:rsidR="000355CD" w:rsidRDefault="000355CD" w:rsidP="00E76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758159"/>
      <w:docPartObj>
        <w:docPartGallery w:val="Page Numbers (Bottom of Page)"/>
        <w:docPartUnique/>
      </w:docPartObj>
    </w:sdtPr>
    <w:sdtContent>
      <w:p w14:paraId="4E0C6218" w14:textId="6AC45F80" w:rsidR="00133966" w:rsidRDefault="00133966">
        <w:pPr>
          <w:pStyle w:val="ac"/>
          <w:jc w:val="center"/>
        </w:pPr>
        <w:r>
          <w:fldChar w:fldCharType="begin"/>
        </w:r>
        <w:r>
          <w:instrText>PAGE   \* MERGEFORMAT</w:instrText>
        </w:r>
        <w:r>
          <w:fldChar w:fldCharType="separate"/>
        </w:r>
        <w:r>
          <w:rPr>
            <w:lang w:val="ja-JP"/>
          </w:rPr>
          <w:t>2</w:t>
        </w:r>
        <w:r>
          <w:fldChar w:fldCharType="end"/>
        </w:r>
      </w:p>
    </w:sdtContent>
  </w:sdt>
  <w:p w14:paraId="40D2C38D" w14:textId="77777777" w:rsidR="00133966" w:rsidRDefault="0013396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325D7" w14:textId="77777777" w:rsidR="000355CD" w:rsidRDefault="000355CD" w:rsidP="00E76A38">
      <w:r>
        <w:separator/>
      </w:r>
    </w:p>
  </w:footnote>
  <w:footnote w:type="continuationSeparator" w:id="0">
    <w:p w14:paraId="7CD088A8" w14:textId="77777777" w:rsidR="000355CD" w:rsidRDefault="000355CD" w:rsidP="00E76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46C"/>
    <w:rsid w:val="00017FE5"/>
    <w:rsid w:val="000355CD"/>
    <w:rsid w:val="000B0AE2"/>
    <w:rsid w:val="00125755"/>
    <w:rsid w:val="00133966"/>
    <w:rsid w:val="001539EE"/>
    <w:rsid w:val="001B7581"/>
    <w:rsid w:val="0025457E"/>
    <w:rsid w:val="00292939"/>
    <w:rsid w:val="003E5AE3"/>
    <w:rsid w:val="00431500"/>
    <w:rsid w:val="0044637F"/>
    <w:rsid w:val="004D739E"/>
    <w:rsid w:val="0052035E"/>
    <w:rsid w:val="0053395C"/>
    <w:rsid w:val="005E61C7"/>
    <w:rsid w:val="00681AA4"/>
    <w:rsid w:val="0070776D"/>
    <w:rsid w:val="00753BAF"/>
    <w:rsid w:val="007F0851"/>
    <w:rsid w:val="00981238"/>
    <w:rsid w:val="009D546C"/>
    <w:rsid w:val="00A9035C"/>
    <w:rsid w:val="00B43017"/>
    <w:rsid w:val="00C35468"/>
    <w:rsid w:val="00D910F0"/>
    <w:rsid w:val="00DE604F"/>
    <w:rsid w:val="00DF3BBB"/>
    <w:rsid w:val="00E318BA"/>
    <w:rsid w:val="00E76A38"/>
    <w:rsid w:val="00E94F8D"/>
    <w:rsid w:val="00EE5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5FE04C"/>
  <w15:chartTrackingRefBased/>
  <w15:docId w15:val="{D61CD48F-D413-4D1A-A625-84491057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54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54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546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54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54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54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54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54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54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54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54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546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54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54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54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54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54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54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54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54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54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54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546C"/>
    <w:pPr>
      <w:spacing w:before="160" w:after="160"/>
      <w:jc w:val="center"/>
    </w:pPr>
    <w:rPr>
      <w:i/>
      <w:iCs/>
      <w:color w:val="404040" w:themeColor="text1" w:themeTint="BF"/>
    </w:rPr>
  </w:style>
  <w:style w:type="character" w:customStyle="1" w:styleId="a8">
    <w:name w:val="引用文 (文字)"/>
    <w:basedOn w:val="a0"/>
    <w:link w:val="a7"/>
    <w:uiPriority w:val="29"/>
    <w:rsid w:val="009D546C"/>
    <w:rPr>
      <w:i/>
      <w:iCs/>
      <w:color w:val="404040" w:themeColor="text1" w:themeTint="BF"/>
    </w:rPr>
  </w:style>
  <w:style w:type="paragraph" w:styleId="a9">
    <w:name w:val="List Paragraph"/>
    <w:basedOn w:val="a"/>
    <w:uiPriority w:val="34"/>
    <w:qFormat/>
    <w:rsid w:val="009D546C"/>
    <w:pPr>
      <w:ind w:left="720"/>
      <w:contextualSpacing/>
    </w:pPr>
  </w:style>
  <w:style w:type="character" w:styleId="21">
    <w:name w:val="Intense Emphasis"/>
    <w:basedOn w:val="a0"/>
    <w:uiPriority w:val="21"/>
    <w:qFormat/>
    <w:rsid w:val="009D546C"/>
    <w:rPr>
      <w:i/>
      <w:iCs/>
      <w:color w:val="0F4761" w:themeColor="accent1" w:themeShade="BF"/>
    </w:rPr>
  </w:style>
  <w:style w:type="paragraph" w:styleId="22">
    <w:name w:val="Intense Quote"/>
    <w:basedOn w:val="a"/>
    <w:next w:val="a"/>
    <w:link w:val="23"/>
    <w:uiPriority w:val="30"/>
    <w:qFormat/>
    <w:rsid w:val="009D54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546C"/>
    <w:rPr>
      <w:i/>
      <w:iCs/>
      <w:color w:val="0F4761" w:themeColor="accent1" w:themeShade="BF"/>
    </w:rPr>
  </w:style>
  <w:style w:type="character" w:styleId="24">
    <w:name w:val="Intense Reference"/>
    <w:basedOn w:val="a0"/>
    <w:uiPriority w:val="32"/>
    <w:qFormat/>
    <w:rsid w:val="009D546C"/>
    <w:rPr>
      <w:b/>
      <w:bCs/>
      <w:smallCaps/>
      <w:color w:val="0F4761" w:themeColor="accent1" w:themeShade="BF"/>
      <w:spacing w:val="5"/>
    </w:rPr>
  </w:style>
  <w:style w:type="paragraph" w:styleId="aa">
    <w:name w:val="header"/>
    <w:basedOn w:val="a"/>
    <w:link w:val="ab"/>
    <w:uiPriority w:val="99"/>
    <w:unhideWhenUsed/>
    <w:rsid w:val="00E76A38"/>
    <w:pPr>
      <w:tabs>
        <w:tab w:val="center" w:pos="4252"/>
        <w:tab w:val="right" w:pos="8504"/>
      </w:tabs>
      <w:snapToGrid w:val="0"/>
    </w:pPr>
  </w:style>
  <w:style w:type="character" w:customStyle="1" w:styleId="ab">
    <w:name w:val="ヘッダー (文字)"/>
    <w:basedOn w:val="a0"/>
    <w:link w:val="aa"/>
    <w:uiPriority w:val="99"/>
    <w:rsid w:val="00E76A38"/>
  </w:style>
  <w:style w:type="paragraph" w:styleId="ac">
    <w:name w:val="footer"/>
    <w:basedOn w:val="a"/>
    <w:link w:val="ad"/>
    <w:uiPriority w:val="99"/>
    <w:unhideWhenUsed/>
    <w:rsid w:val="00E76A38"/>
    <w:pPr>
      <w:tabs>
        <w:tab w:val="center" w:pos="4252"/>
        <w:tab w:val="right" w:pos="8504"/>
      </w:tabs>
      <w:snapToGrid w:val="0"/>
    </w:pPr>
  </w:style>
  <w:style w:type="character" w:customStyle="1" w:styleId="ad">
    <w:name w:val="フッター (文字)"/>
    <w:basedOn w:val="a0"/>
    <w:link w:val="ac"/>
    <w:uiPriority w:val="99"/>
    <w:rsid w:val="00E7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228</Words>
  <Characters>1305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Takayuki Tajima</dc:creator>
  <cp:keywords/>
  <dc:description/>
  <cp:lastModifiedBy>技術部</cp:lastModifiedBy>
  <cp:revision>14</cp:revision>
  <dcterms:created xsi:type="dcterms:W3CDTF">2026-09-07T15:12:00Z</dcterms:created>
  <dcterms:modified xsi:type="dcterms:W3CDTF">2026-09-08T02:20:00Z</dcterms:modified>
</cp:coreProperties>
</file>